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B4C18" w14:textId="07007B2E" w:rsidR="00C6769B" w:rsidRPr="00C6769B" w:rsidRDefault="00C6769B" w:rsidP="00445A6A">
      <w:pPr>
        <w:spacing w:after="240"/>
        <w:jc w:val="center"/>
        <w:rPr>
          <w:b/>
          <w:bCs/>
          <w:sz w:val="26"/>
          <w:lang w:bidi="fa-IR"/>
        </w:rPr>
      </w:pPr>
      <w:r w:rsidRPr="00445A6A">
        <w:rPr>
          <w:rFonts w:ascii="IRPooya" w:hAnsi="IRPooya" w:cs="B Titr" w:hint="cs"/>
          <w:b/>
          <w:bCs/>
          <w:color w:val="000000" w:themeColor="text1"/>
          <w:sz w:val="24"/>
          <w:szCs w:val="24"/>
          <w:rtl/>
        </w:rPr>
        <w:t>«</w:t>
      </w:r>
      <w:r w:rsidRPr="00C6769B">
        <w:rPr>
          <w:rFonts w:ascii="IRPooya" w:hAnsi="IRPooya" w:cs="B Titr" w:hint="cs"/>
          <w:b/>
          <w:bCs/>
          <w:color w:val="000000" w:themeColor="text1"/>
          <w:sz w:val="24"/>
          <w:szCs w:val="24"/>
          <w:rtl/>
        </w:rPr>
        <w:t>تدوین و پیاده‌سازی سازوکار حکمرانی شرکتی در صندوق بازنشستگی کشوری</w:t>
      </w:r>
      <w:r w:rsidRPr="00445A6A">
        <w:rPr>
          <w:rFonts w:ascii="IRPooya" w:hAnsi="IRPooya" w:cs="B Titr" w:hint="cs"/>
          <w:b/>
          <w:bCs/>
          <w:color w:val="000000" w:themeColor="text1"/>
          <w:sz w:val="24"/>
          <w:szCs w:val="24"/>
          <w:rtl/>
        </w:rPr>
        <w:t>»</w:t>
      </w:r>
    </w:p>
    <w:p w14:paraId="761332E5" w14:textId="77777777" w:rsidR="00C6769B" w:rsidRPr="00C6769B" w:rsidRDefault="00C6769B" w:rsidP="00C6769B">
      <w:pPr>
        <w:rPr>
          <w:sz w:val="26"/>
          <w:rtl/>
          <w:lang w:bidi="fa-IR"/>
        </w:rPr>
      </w:pPr>
      <w:r w:rsidRPr="00C6769B">
        <w:rPr>
          <w:rFonts w:hint="cs"/>
          <w:sz w:val="26"/>
          <w:rtl/>
          <w:lang w:bidi="fa-IR"/>
        </w:rPr>
        <w:t>نزدیک به نیم قرن است که اصطلاح حکمرانی شرکتی در عرصه مدیریت شرکت‌ها، به دنبال آشکار شدن تقلب</w:t>
      </w:r>
      <w:r w:rsidRPr="00C6769B">
        <w:rPr>
          <w:rFonts w:hint="eastAsia"/>
          <w:sz w:val="26"/>
          <w:rtl/>
          <w:lang w:bidi="fa-IR"/>
        </w:rPr>
        <w:t>‌</w:t>
      </w:r>
      <w:r w:rsidRPr="00C6769B">
        <w:rPr>
          <w:rFonts w:hint="cs"/>
          <w:sz w:val="26"/>
          <w:rtl/>
          <w:lang w:bidi="fa-IR"/>
        </w:rPr>
        <w:t xml:space="preserve">های جدی و سوء استفاده‌های مکرر مالی مدیران شرکت‌ها در برخی کشورهای </w:t>
      </w:r>
      <w:r w:rsidRPr="00C6769B">
        <w:rPr>
          <w:rFonts w:hint="cs"/>
          <w:sz w:val="26"/>
          <w:rtl/>
        </w:rPr>
        <w:t>توسعه‌یافته‌</w:t>
      </w:r>
      <w:r w:rsidRPr="00C6769B">
        <w:rPr>
          <w:rFonts w:hint="cs"/>
          <w:sz w:val="26"/>
          <w:rtl/>
          <w:lang w:bidi="fa-IR"/>
        </w:rPr>
        <w:t xml:space="preserve">، ظهور و نمود پیدا کرده است. در نتیجۀ آنْ دولت‌ها و نهادهای </w:t>
      </w:r>
      <w:r w:rsidRPr="00C6769B">
        <w:rPr>
          <w:rFonts w:hint="cs"/>
          <w:sz w:val="26"/>
          <w:rtl/>
        </w:rPr>
        <w:t>سیاست‏گذار</w:t>
      </w:r>
      <w:r w:rsidRPr="00C6769B">
        <w:rPr>
          <w:rFonts w:hint="cs"/>
          <w:sz w:val="26"/>
          <w:rtl/>
          <w:lang w:bidi="fa-IR"/>
        </w:rPr>
        <w:t xml:space="preserve"> مجموعه قوانین و مقرراتی را تهیه و تصویب کردند تا از طریق آن شرکت‌ها را وادار کنند سیاست‌های اخلاقی و شفاف را در مدیریت شرکت‌ها در پیش گیرند. این قوانین و مقررات پایه ایجاد اصول حکمرانی شرکتی در سال‌های بعد بود. الگوهای اولیه حکمرانی شرکتی با پیروی از تئوری کارگزاری، به دنبال آن بودند تا سازوکارهایی را ایجاد کنند که از طریق آن مدیران شرکت‌ها ملزم به رعایت منافع مالکان شرکت‌ها (سهامداران) باشند. به تدریج و با بزرگ</w:t>
      </w:r>
      <w:r w:rsidRPr="00C6769B">
        <w:rPr>
          <w:rFonts w:hint="eastAsia"/>
          <w:sz w:val="26"/>
          <w:rtl/>
          <w:lang w:bidi="fa-IR"/>
        </w:rPr>
        <w:t>‌</w:t>
      </w:r>
      <w:r w:rsidRPr="00C6769B">
        <w:rPr>
          <w:rFonts w:hint="cs"/>
          <w:sz w:val="26"/>
          <w:rtl/>
          <w:lang w:bidi="fa-IR"/>
        </w:rPr>
        <w:t xml:space="preserve">تر شدن شرکت‌ها دامنه اثرگذاری و اثرپذیری آنها نیز گسترش یافت و طیف گسترده‌تری از ذی‌نفعان را متأثر کرد. ازاین‏رو، الگوهای حاکمیت شرکتی به تدریج تکمیل شده و منافع سایر ذی‌نفعان از جمله </w:t>
      </w:r>
      <w:r w:rsidRPr="00C6769B">
        <w:rPr>
          <w:sz w:val="26"/>
          <w:rtl/>
          <w:lang w:bidi="fa-IR"/>
        </w:rPr>
        <w:t>کارکنان، فروشندگان، مشتر</w:t>
      </w:r>
      <w:r w:rsidRPr="00C6769B">
        <w:rPr>
          <w:rFonts w:hint="cs"/>
          <w:sz w:val="26"/>
          <w:rtl/>
          <w:lang w:bidi="fa-IR"/>
        </w:rPr>
        <w:t>ی</w:t>
      </w:r>
      <w:r w:rsidRPr="00C6769B">
        <w:rPr>
          <w:rFonts w:hint="eastAsia"/>
          <w:sz w:val="26"/>
          <w:rtl/>
          <w:lang w:bidi="fa-IR"/>
        </w:rPr>
        <w:t>ان،</w:t>
      </w:r>
      <w:r w:rsidRPr="00C6769B">
        <w:rPr>
          <w:sz w:val="26"/>
          <w:rtl/>
          <w:lang w:bidi="fa-IR"/>
        </w:rPr>
        <w:t xml:space="preserve"> بستانکاران، شرکت</w:t>
      </w:r>
      <w:r w:rsidRPr="00C6769B">
        <w:rPr>
          <w:rFonts w:hint="cs"/>
          <w:sz w:val="26"/>
          <w:rtl/>
          <w:lang w:bidi="fa-IR"/>
        </w:rPr>
        <w:t>‌</w:t>
      </w:r>
      <w:r w:rsidRPr="00C6769B">
        <w:rPr>
          <w:sz w:val="26"/>
          <w:rtl/>
          <w:lang w:bidi="fa-IR"/>
        </w:rPr>
        <w:t>ها</w:t>
      </w:r>
      <w:r w:rsidRPr="00C6769B">
        <w:rPr>
          <w:rFonts w:hint="cs"/>
          <w:sz w:val="26"/>
          <w:rtl/>
          <w:lang w:bidi="fa-IR"/>
        </w:rPr>
        <w:t>ی همکار را در بر گرفت. مطابق تعریف سازمان توسعه و همکاری‌ اقتصادی (</w:t>
      </w:r>
      <w:r w:rsidRPr="00C6769B">
        <w:rPr>
          <w:rFonts w:asciiTheme="majorBidi" w:hAnsiTheme="majorBidi" w:cstheme="majorBidi"/>
          <w:sz w:val="24"/>
          <w:szCs w:val="24"/>
          <w:lang w:bidi="fa-IR"/>
        </w:rPr>
        <w:t>OECD</w:t>
      </w:r>
      <w:r w:rsidRPr="00C6769B">
        <w:rPr>
          <w:rFonts w:hint="cs"/>
          <w:sz w:val="26"/>
          <w:rtl/>
          <w:lang w:bidi="fa-IR"/>
        </w:rPr>
        <w:t xml:space="preserve">)، حکمرانی شرکتیْ </w:t>
      </w:r>
      <w:r w:rsidRPr="00C6769B">
        <w:rPr>
          <w:sz w:val="26"/>
          <w:rtl/>
          <w:lang w:bidi="fa-IR"/>
        </w:rPr>
        <w:t>رو</w:t>
      </w:r>
      <w:r w:rsidRPr="00C6769B">
        <w:rPr>
          <w:rFonts w:hint="cs"/>
          <w:sz w:val="26"/>
          <w:rtl/>
          <w:lang w:bidi="fa-IR"/>
        </w:rPr>
        <w:t>ی</w:t>
      </w:r>
      <w:r w:rsidRPr="00C6769B">
        <w:rPr>
          <w:rFonts w:hint="eastAsia"/>
          <w:sz w:val="26"/>
          <w:rtl/>
          <w:lang w:bidi="fa-IR"/>
        </w:rPr>
        <w:t>ه</w:t>
      </w:r>
      <w:r w:rsidRPr="00C6769B">
        <w:rPr>
          <w:rFonts w:hint="eastAsia"/>
          <w:sz w:val="26"/>
          <w:lang w:bidi="fa-IR"/>
        </w:rPr>
        <w:t>‏</w:t>
      </w:r>
      <w:r w:rsidRPr="00C6769B">
        <w:rPr>
          <w:sz w:val="26"/>
          <w:rtl/>
          <w:lang w:bidi="fa-IR"/>
        </w:rPr>
        <w:t>ها و فرآ</w:t>
      </w:r>
      <w:r w:rsidRPr="00C6769B">
        <w:rPr>
          <w:rFonts w:hint="cs"/>
          <w:sz w:val="26"/>
          <w:rtl/>
          <w:lang w:bidi="fa-IR"/>
        </w:rPr>
        <w:t>ی</w:t>
      </w:r>
      <w:r w:rsidRPr="00C6769B">
        <w:rPr>
          <w:rFonts w:hint="eastAsia"/>
          <w:sz w:val="26"/>
          <w:rtl/>
          <w:lang w:bidi="fa-IR"/>
        </w:rPr>
        <w:t>ند</w:t>
      </w:r>
      <w:r w:rsidRPr="00C6769B">
        <w:rPr>
          <w:rFonts w:hint="cs"/>
          <w:sz w:val="26"/>
          <w:rtl/>
          <w:lang w:bidi="fa-IR"/>
        </w:rPr>
        <w:t>هایی</w:t>
      </w:r>
      <w:r w:rsidRPr="00C6769B">
        <w:rPr>
          <w:sz w:val="26"/>
          <w:rtl/>
          <w:lang w:bidi="fa-IR"/>
        </w:rPr>
        <w:t xml:space="preserve"> </w:t>
      </w:r>
      <w:r w:rsidRPr="00C6769B">
        <w:rPr>
          <w:rFonts w:hint="cs"/>
          <w:sz w:val="26"/>
          <w:rtl/>
          <w:lang w:bidi="fa-IR"/>
        </w:rPr>
        <w:t xml:space="preserve">هستند </w:t>
      </w:r>
      <w:r w:rsidRPr="00C6769B">
        <w:rPr>
          <w:sz w:val="26"/>
          <w:rtl/>
          <w:lang w:bidi="fa-IR"/>
        </w:rPr>
        <w:t xml:space="preserve">که طبق آن </w:t>
      </w:r>
      <w:r w:rsidRPr="00C6769B">
        <w:rPr>
          <w:rFonts w:hint="cs"/>
          <w:sz w:val="26"/>
          <w:rtl/>
          <w:lang w:bidi="fa-IR"/>
        </w:rPr>
        <w:t>ی</w:t>
      </w:r>
      <w:r w:rsidRPr="00C6769B">
        <w:rPr>
          <w:rFonts w:hint="eastAsia"/>
          <w:sz w:val="26"/>
          <w:rtl/>
          <w:lang w:bidi="fa-IR"/>
        </w:rPr>
        <w:t>ک</w:t>
      </w:r>
      <w:r w:rsidRPr="00C6769B">
        <w:rPr>
          <w:sz w:val="26"/>
          <w:rtl/>
          <w:lang w:bidi="fa-IR"/>
        </w:rPr>
        <w:t xml:space="preserve"> سازمان هدا</w:t>
      </w:r>
      <w:r w:rsidRPr="00C6769B">
        <w:rPr>
          <w:rFonts w:hint="cs"/>
          <w:sz w:val="26"/>
          <w:rtl/>
          <w:lang w:bidi="fa-IR"/>
        </w:rPr>
        <w:t>ی</w:t>
      </w:r>
      <w:r w:rsidRPr="00C6769B">
        <w:rPr>
          <w:rFonts w:hint="eastAsia"/>
          <w:sz w:val="26"/>
          <w:rtl/>
          <w:lang w:bidi="fa-IR"/>
        </w:rPr>
        <w:t>ت</w:t>
      </w:r>
      <w:r w:rsidRPr="00C6769B">
        <w:rPr>
          <w:sz w:val="26"/>
          <w:rtl/>
          <w:lang w:bidi="fa-IR"/>
        </w:rPr>
        <w:t xml:space="preserve"> و کنترل م</w:t>
      </w:r>
      <w:r w:rsidRPr="00C6769B">
        <w:rPr>
          <w:rFonts w:hint="cs"/>
          <w:sz w:val="26"/>
          <w:rtl/>
          <w:lang w:bidi="fa-IR"/>
        </w:rPr>
        <w:t>ی‌</w:t>
      </w:r>
      <w:r w:rsidRPr="00C6769B">
        <w:rPr>
          <w:sz w:val="26"/>
          <w:rtl/>
          <w:lang w:bidi="fa-IR"/>
        </w:rPr>
        <w:t>شود</w:t>
      </w:r>
      <w:r w:rsidRPr="00C6769B">
        <w:rPr>
          <w:rFonts w:hint="cs"/>
          <w:sz w:val="26"/>
          <w:rtl/>
          <w:lang w:bidi="fa-IR"/>
        </w:rPr>
        <w:t xml:space="preserve">. بر اساس آن، </w:t>
      </w:r>
      <w:r w:rsidRPr="00C6769B">
        <w:rPr>
          <w:sz w:val="26"/>
          <w:rtl/>
          <w:lang w:bidi="fa-IR"/>
        </w:rPr>
        <w:t>توز</w:t>
      </w:r>
      <w:r w:rsidRPr="00C6769B">
        <w:rPr>
          <w:rFonts w:hint="cs"/>
          <w:sz w:val="26"/>
          <w:rtl/>
          <w:lang w:bidi="fa-IR"/>
        </w:rPr>
        <w:t>ی</w:t>
      </w:r>
      <w:r w:rsidRPr="00C6769B">
        <w:rPr>
          <w:rFonts w:hint="eastAsia"/>
          <w:sz w:val="26"/>
          <w:rtl/>
          <w:lang w:bidi="fa-IR"/>
        </w:rPr>
        <w:t>ع</w:t>
      </w:r>
      <w:r w:rsidRPr="00C6769B">
        <w:rPr>
          <w:sz w:val="26"/>
          <w:rtl/>
          <w:lang w:bidi="fa-IR"/>
        </w:rPr>
        <w:t xml:space="preserve"> حقوق و مسئول</w:t>
      </w:r>
      <w:r w:rsidRPr="00C6769B">
        <w:rPr>
          <w:rFonts w:hint="cs"/>
          <w:sz w:val="26"/>
          <w:rtl/>
          <w:lang w:bidi="fa-IR"/>
        </w:rPr>
        <w:t>ی</w:t>
      </w:r>
      <w:r w:rsidRPr="00C6769B">
        <w:rPr>
          <w:rFonts w:hint="eastAsia"/>
          <w:sz w:val="26"/>
          <w:rtl/>
          <w:lang w:bidi="fa-IR"/>
        </w:rPr>
        <w:t>ت</w:t>
      </w:r>
      <w:r w:rsidRPr="00C6769B">
        <w:rPr>
          <w:rFonts w:hint="cs"/>
          <w:sz w:val="26"/>
          <w:rtl/>
          <w:lang w:bidi="fa-IR"/>
        </w:rPr>
        <w:t>‌</w:t>
      </w:r>
      <w:r w:rsidRPr="00C6769B">
        <w:rPr>
          <w:sz w:val="26"/>
          <w:rtl/>
          <w:lang w:bidi="fa-IR"/>
        </w:rPr>
        <w:t>ها ب</w:t>
      </w:r>
      <w:r w:rsidRPr="00C6769B">
        <w:rPr>
          <w:rFonts w:hint="cs"/>
          <w:sz w:val="26"/>
          <w:rtl/>
          <w:lang w:bidi="fa-IR"/>
        </w:rPr>
        <w:t>ی</w:t>
      </w:r>
      <w:r w:rsidRPr="00C6769B">
        <w:rPr>
          <w:rFonts w:hint="eastAsia"/>
          <w:sz w:val="26"/>
          <w:rtl/>
          <w:lang w:bidi="fa-IR"/>
        </w:rPr>
        <w:t>ن</w:t>
      </w:r>
      <w:r w:rsidRPr="00C6769B">
        <w:rPr>
          <w:sz w:val="26"/>
          <w:rtl/>
          <w:lang w:bidi="fa-IR"/>
        </w:rPr>
        <w:t xml:space="preserve"> </w:t>
      </w:r>
      <w:r w:rsidRPr="00C6769B">
        <w:rPr>
          <w:rFonts w:hint="cs"/>
          <w:sz w:val="26"/>
          <w:rtl/>
          <w:lang w:bidi="fa-IR"/>
        </w:rPr>
        <w:t>مشارکت‌کنندگان</w:t>
      </w:r>
      <w:r w:rsidRPr="00C6769B">
        <w:rPr>
          <w:sz w:val="26"/>
          <w:rtl/>
          <w:lang w:bidi="fa-IR"/>
        </w:rPr>
        <w:t xml:space="preserve"> مختلف در سازمان </w:t>
      </w:r>
      <w:r w:rsidRPr="00C6769B">
        <w:rPr>
          <w:rFonts w:hint="cs"/>
          <w:sz w:val="26"/>
          <w:rtl/>
          <w:lang w:bidi="fa-IR"/>
        </w:rPr>
        <w:t>(</w:t>
      </w:r>
      <w:r w:rsidRPr="00C6769B">
        <w:rPr>
          <w:sz w:val="26"/>
          <w:rtl/>
          <w:lang w:bidi="fa-IR"/>
        </w:rPr>
        <w:t>مانند ه</w:t>
      </w:r>
      <w:r w:rsidRPr="00C6769B">
        <w:rPr>
          <w:rFonts w:hint="cs"/>
          <w:sz w:val="26"/>
          <w:rtl/>
          <w:lang w:bidi="fa-IR"/>
        </w:rPr>
        <w:t>ی</w:t>
      </w:r>
      <w:r w:rsidRPr="00C6769B">
        <w:rPr>
          <w:rFonts w:hint="eastAsia"/>
          <w:sz w:val="26"/>
          <w:rtl/>
          <w:lang w:bidi="fa-IR"/>
        </w:rPr>
        <w:t>ئت</w:t>
      </w:r>
      <w:r w:rsidRPr="00C6769B">
        <w:rPr>
          <w:sz w:val="26"/>
          <w:rtl/>
          <w:lang w:bidi="fa-IR"/>
        </w:rPr>
        <w:t xml:space="preserve"> مد</w:t>
      </w:r>
      <w:r w:rsidRPr="00C6769B">
        <w:rPr>
          <w:rFonts w:hint="cs"/>
          <w:sz w:val="26"/>
          <w:rtl/>
          <w:lang w:bidi="fa-IR"/>
        </w:rPr>
        <w:t>ی</w:t>
      </w:r>
      <w:r w:rsidRPr="00C6769B">
        <w:rPr>
          <w:rFonts w:hint="eastAsia"/>
          <w:sz w:val="26"/>
          <w:rtl/>
          <w:lang w:bidi="fa-IR"/>
        </w:rPr>
        <w:t>ره</w:t>
      </w:r>
      <w:r w:rsidRPr="00C6769B">
        <w:rPr>
          <w:sz w:val="26"/>
          <w:rtl/>
          <w:lang w:bidi="fa-IR"/>
        </w:rPr>
        <w:t>، مد</w:t>
      </w:r>
      <w:r w:rsidRPr="00C6769B">
        <w:rPr>
          <w:rFonts w:hint="cs"/>
          <w:sz w:val="26"/>
          <w:rtl/>
          <w:lang w:bidi="fa-IR"/>
        </w:rPr>
        <w:t>ی</w:t>
      </w:r>
      <w:r w:rsidRPr="00C6769B">
        <w:rPr>
          <w:rFonts w:hint="eastAsia"/>
          <w:sz w:val="26"/>
          <w:rtl/>
          <w:lang w:bidi="fa-IR"/>
        </w:rPr>
        <w:t>ران</w:t>
      </w:r>
      <w:r w:rsidRPr="00C6769B">
        <w:rPr>
          <w:sz w:val="26"/>
          <w:rtl/>
          <w:lang w:bidi="fa-IR"/>
        </w:rPr>
        <w:t>، سهامداران و سا</w:t>
      </w:r>
      <w:r w:rsidRPr="00C6769B">
        <w:rPr>
          <w:rFonts w:hint="cs"/>
          <w:sz w:val="26"/>
          <w:rtl/>
          <w:lang w:bidi="fa-IR"/>
        </w:rPr>
        <w:t>ی</w:t>
      </w:r>
      <w:r w:rsidRPr="00C6769B">
        <w:rPr>
          <w:rFonts w:hint="eastAsia"/>
          <w:sz w:val="26"/>
          <w:rtl/>
          <w:lang w:bidi="fa-IR"/>
        </w:rPr>
        <w:t>ر</w:t>
      </w:r>
      <w:r w:rsidRPr="00C6769B">
        <w:rPr>
          <w:sz w:val="26"/>
          <w:rtl/>
          <w:lang w:bidi="fa-IR"/>
        </w:rPr>
        <w:t xml:space="preserve"> ذ</w:t>
      </w:r>
      <w:r w:rsidRPr="00C6769B">
        <w:rPr>
          <w:rFonts w:hint="cs"/>
          <w:sz w:val="26"/>
          <w:rtl/>
          <w:lang w:bidi="fa-IR"/>
        </w:rPr>
        <w:t>ی</w:t>
      </w:r>
      <w:r w:rsidRPr="00C6769B">
        <w:rPr>
          <w:rFonts w:hint="eastAsia"/>
          <w:sz w:val="26"/>
          <w:rtl/>
          <w:lang w:bidi="fa-IR"/>
        </w:rPr>
        <w:t>نفعان</w:t>
      </w:r>
      <w:r w:rsidRPr="00C6769B">
        <w:rPr>
          <w:rFonts w:hint="cs"/>
          <w:sz w:val="26"/>
          <w:rtl/>
          <w:lang w:bidi="fa-IR"/>
        </w:rPr>
        <w:t>)</w:t>
      </w:r>
      <w:r w:rsidRPr="00C6769B">
        <w:rPr>
          <w:sz w:val="26"/>
          <w:rtl/>
          <w:lang w:bidi="fa-IR"/>
        </w:rPr>
        <w:t xml:space="preserve"> مشخص </w:t>
      </w:r>
      <w:r w:rsidRPr="00C6769B">
        <w:rPr>
          <w:rFonts w:hint="cs"/>
          <w:sz w:val="26"/>
          <w:rtl/>
          <w:lang w:bidi="fa-IR"/>
        </w:rPr>
        <w:t>شده</w:t>
      </w:r>
      <w:r w:rsidRPr="00C6769B">
        <w:rPr>
          <w:sz w:val="26"/>
          <w:rtl/>
          <w:lang w:bidi="fa-IR"/>
        </w:rPr>
        <w:t xml:space="preserve"> و قوان</w:t>
      </w:r>
      <w:r w:rsidRPr="00C6769B">
        <w:rPr>
          <w:rFonts w:hint="cs"/>
          <w:sz w:val="26"/>
          <w:rtl/>
          <w:lang w:bidi="fa-IR"/>
        </w:rPr>
        <w:t>ی</w:t>
      </w:r>
      <w:r w:rsidRPr="00C6769B">
        <w:rPr>
          <w:rFonts w:hint="eastAsia"/>
          <w:sz w:val="26"/>
          <w:rtl/>
          <w:lang w:bidi="fa-IR"/>
        </w:rPr>
        <w:t>ن</w:t>
      </w:r>
      <w:r w:rsidRPr="00C6769B">
        <w:rPr>
          <w:sz w:val="26"/>
          <w:rtl/>
          <w:lang w:bidi="fa-IR"/>
        </w:rPr>
        <w:t xml:space="preserve"> و رو</w:t>
      </w:r>
      <w:r w:rsidRPr="00C6769B">
        <w:rPr>
          <w:rFonts w:hint="cs"/>
          <w:sz w:val="26"/>
          <w:rtl/>
          <w:lang w:bidi="fa-IR"/>
        </w:rPr>
        <w:t>ی</w:t>
      </w:r>
      <w:r w:rsidRPr="00C6769B">
        <w:rPr>
          <w:rFonts w:hint="eastAsia"/>
          <w:sz w:val="26"/>
          <w:rtl/>
          <w:lang w:bidi="fa-IR"/>
        </w:rPr>
        <w:t>ه</w:t>
      </w:r>
      <w:r w:rsidRPr="00C6769B">
        <w:rPr>
          <w:rFonts w:hint="cs"/>
          <w:sz w:val="26"/>
          <w:rtl/>
          <w:lang w:bidi="fa-IR"/>
        </w:rPr>
        <w:t>‌</w:t>
      </w:r>
      <w:r w:rsidRPr="00C6769B">
        <w:rPr>
          <w:sz w:val="26"/>
          <w:rtl/>
          <w:lang w:bidi="fa-IR"/>
        </w:rPr>
        <w:t>ها</w:t>
      </w:r>
      <w:r w:rsidRPr="00C6769B">
        <w:rPr>
          <w:rFonts w:hint="cs"/>
          <w:sz w:val="26"/>
          <w:rtl/>
          <w:lang w:bidi="fa-IR"/>
        </w:rPr>
        <w:t>ی</w:t>
      </w:r>
      <w:r w:rsidRPr="00C6769B">
        <w:rPr>
          <w:sz w:val="26"/>
          <w:rtl/>
          <w:lang w:bidi="fa-IR"/>
        </w:rPr>
        <w:t xml:space="preserve"> تصم</w:t>
      </w:r>
      <w:r w:rsidRPr="00C6769B">
        <w:rPr>
          <w:rFonts w:hint="cs"/>
          <w:sz w:val="26"/>
          <w:rtl/>
          <w:lang w:bidi="fa-IR"/>
        </w:rPr>
        <w:t>ی</w:t>
      </w:r>
      <w:r w:rsidRPr="00C6769B">
        <w:rPr>
          <w:rFonts w:hint="eastAsia"/>
          <w:sz w:val="26"/>
          <w:rtl/>
          <w:lang w:bidi="fa-IR"/>
        </w:rPr>
        <w:t>م</w:t>
      </w:r>
      <w:r w:rsidRPr="00C6769B">
        <w:rPr>
          <w:rFonts w:hint="cs"/>
          <w:sz w:val="26"/>
          <w:rtl/>
          <w:lang w:bidi="fa-IR"/>
        </w:rPr>
        <w:t>‏</w:t>
      </w:r>
      <w:r w:rsidRPr="00C6769B">
        <w:rPr>
          <w:sz w:val="26"/>
          <w:rtl/>
          <w:lang w:bidi="fa-IR"/>
        </w:rPr>
        <w:t>گ</w:t>
      </w:r>
      <w:r w:rsidRPr="00C6769B">
        <w:rPr>
          <w:rFonts w:hint="cs"/>
          <w:sz w:val="26"/>
          <w:rtl/>
          <w:lang w:bidi="fa-IR"/>
        </w:rPr>
        <w:t>ی</w:t>
      </w:r>
      <w:r w:rsidRPr="00C6769B">
        <w:rPr>
          <w:rFonts w:hint="eastAsia"/>
          <w:sz w:val="26"/>
          <w:rtl/>
          <w:lang w:bidi="fa-IR"/>
        </w:rPr>
        <w:t>ر</w:t>
      </w:r>
      <w:r w:rsidRPr="00C6769B">
        <w:rPr>
          <w:rFonts w:hint="cs"/>
          <w:sz w:val="26"/>
          <w:rtl/>
          <w:lang w:bidi="fa-IR"/>
        </w:rPr>
        <w:t>ی</w:t>
      </w:r>
      <w:r w:rsidRPr="00C6769B">
        <w:rPr>
          <w:sz w:val="26"/>
          <w:rtl/>
          <w:lang w:bidi="fa-IR"/>
        </w:rPr>
        <w:t xml:space="preserve"> تع</w:t>
      </w:r>
      <w:r w:rsidRPr="00C6769B">
        <w:rPr>
          <w:rFonts w:hint="cs"/>
          <w:sz w:val="26"/>
          <w:rtl/>
          <w:lang w:bidi="fa-IR"/>
        </w:rPr>
        <w:t>یی</w:t>
      </w:r>
      <w:r w:rsidRPr="00C6769B">
        <w:rPr>
          <w:rFonts w:hint="eastAsia"/>
          <w:sz w:val="26"/>
          <w:rtl/>
          <w:lang w:bidi="fa-IR"/>
        </w:rPr>
        <w:t>ن</w:t>
      </w:r>
      <w:r w:rsidRPr="00C6769B">
        <w:rPr>
          <w:sz w:val="26"/>
          <w:rtl/>
          <w:lang w:bidi="fa-IR"/>
        </w:rPr>
        <w:t xml:space="preserve"> م</w:t>
      </w:r>
      <w:r w:rsidRPr="00C6769B">
        <w:rPr>
          <w:rFonts w:hint="cs"/>
          <w:sz w:val="26"/>
          <w:rtl/>
          <w:lang w:bidi="fa-IR"/>
        </w:rPr>
        <w:t>ی‌شوند</w:t>
      </w:r>
      <w:r w:rsidRPr="00C6769B">
        <w:rPr>
          <w:sz w:val="26"/>
          <w:rtl/>
          <w:lang w:bidi="fa-IR"/>
        </w:rPr>
        <w:t>.</w:t>
      </w:r>
      <w:r w:rsidRPr="00C6769B">
        <w:rPr>
          <w:rFonts w:hint="cs"/>
          <w:sz w:val="26"/>
          <w:rtl/>
          <w:lang w:bidi="fa-IR"/>
        </w:rPr>
        <w:t xml:space="preserve"> هدف از پیاده‌سازی اصول حکمرانی شرکتی نیز </w:t>
      </w:r>
      <w:r w:rsidRPr="00C6769B">
        <w:rPr>
          <w:sz w:val="26"/>
          <w:rtl/>
          <w:lang w:bidi="fa-IR"/>
        </w:rPr>
        <w:t>کمک به ا</w:t>
      </w:r>
      <w:r w:rsidRPr="00C6769B">
        <w:rPr>
          <w:rFonts w:hint="cs"/>
          <w:sz w:val="26"/>
          <w:rtl/>
          <w:lang w:bidi="fa-IR"/>
        </w:rPr>
        <w:t>ی</w:t>
      </w:r>
      <w:r w:rsidRPr="00C6769B">
        <w:rPr>
          <w:rFonts w:hint="eastAsia"/>
          <w:sz w:val="26"/>
          <w:rtl/>
          <w:lang w:bidi="fa-IR"/>
        </w:rPr>
        <w:t>جاد</w:t>
      </w:r>
      <w:r w:rsidRPr="00C6769B">
        <w:rPr>
          <w:sz w:val="26"/>
          <w:rtl/>
          <w:lang w:bidi="fa-IR"/>
        </w:rPr>
        <w:t xml:space="preserve"> فضا</w:t>
      </w:r>
      <w:r w:rsidRPr="00C6769B">
        <w:rPr>
          <w:rFonts w:hint="cs"/>
          <w:sz w:val="26"/>
          <w:rtl/>
          <w:lang w:bidi="fa-IR"/>
        </w:rPr>
        <w:t>ی</w:t>
      </w:r>
      <w:r w:rsidRPr="00C6769B">
        <w:rPr>
          <w:sz w:val="26"/>
          <w:rtl/>
          <w:lang w:bidi="fa-IR"/>
        </w:rPr>
        <w:t xml:space="preserve"> اعتماد، شفاف</w:t>
      </w:r>
      <w:r w:rsidRPr="00C6769B">
        <w:rPr>
          <w:rFonts w:hint="cs"/>
          <w:sz w:val="26"/>
          <w:rtl/>
          <w:lang w:bidi="fa-IR"/>
        </w:rPr>
        <w:t>ی</w:t>
      </w:r>
      <w:r w:rsidRPr="00C6769B">
        <w:rPr>
          <w:rFonts w:hint="eastAsia"/>
          <w:sz w:val="26"/>
          <w:rtl/>
          <w:lang w:bidi="fa-IR"/>
        </w:rPr>
        <w:t>ت</w:t>
      </w:r>
      <w:r w:rsidRPr="00C6769B">
        <w:rPr>
          <w:sz w:val="26"/>
          <w:rtl/>
          <w:lang w:bidi="fa-IR"/>
        </w:rPr>
        <w:t xml:space="preserve"> و پاسخگو</w:t>
      </w:r>
      <w:r w:rsidRPr="00C6769B">
        <w:rPr>
          <w:rFonts w:hint="cs"/>
          <w:sz w:val="26"/>
          <w:rtl/>
          <w:lang w:bidi="fa-IR"/>
        </w:rPr>
        <w:t>یی</w:t>
      </w:r>
      <w:r w:rsidRPr="00C6769B">
        <w:rPr>
          <w:sz w:val="26"/>
          <w:rtl/>
          <w:lang w:bidi="fa-IR"/>
        </w:rPr>
        <w:t xml:space="preserve"> </w:t>
      </w:r>
      <w:r w:rsidRPr="00C6769B">
        <w:rPr>
          <w:rFonts w:hint="cs"/>
          <w:sz w:val="26"/>
          <w:rtl/>
          <w:lang w:bidi="fa-IR"/>
        </w:rPr>
        <w:t xml:space="preserve">است. </w:t>
      </w:r>
    </w:p>
    <w:p w14:paraId="599476E6" w14:textId="77777777" w:rsidR="00C6769B" w:rsidRPr="00C6769B" w:rsidRDefault="00C6769B" w:rsidP="00C6769B">
      <w:pPr>
        <w:rPr>
          <w:sz w:val="26"/>
          <w:rtl/>
          <w:lang w:bidi="fa-IR"/>
        </w:rPr>
      </w:pPr>
      <w:r w:rsidRPr="00C6769B">
        <w:rPr>
          <w:rFonts w:hint="cs"/>
          <w:sz w:val="26"/>
          <w:rtl/>
          <w:lang w:bidi="fa-IR"/>
        </w:rPr>
        <w:t xml:space="preserve">در حال حاضر، 117 شرکت تابعۀ صندوق بازنشستگی کشوری وجود دارند که در حوزه‌های متنوعی از جمله صنعت و معدن، مالی، انرژی، صنایع غذایی و دارویی، حمل و نقل و گردشگری و عمران و ساختمان فعالیت می‏کنند. برخی از این شرکت‏ها به دلیل معظم‏بودن، هم از فرآیندهای عملیاتی و اجرایی گسترده و هم از گردش‏های مالی بسیار عظیمی برخوردارند که می‏توانند دامنۀ وسیعی از ذینفعان را تشکیل داده و آنها را متاثر کنند. از این حیث، تدوین و استقرار سازوکارهای حکمرانی شرکتی در صندوق بازنشستگی کشوری می‏تواند نقشه راه نحوۀ تعامل صندوق با تک‏تک شرکت‏ها و بالعکس، شفافیت در فرآیند تصمیم‏گیری‏های عملیاتی و مالی آنها، بسترسازی برای تامین حداکثر منافع ذینفعان (صندوق، مشترکان صندوق، کارکنان شرکت‏ها، مشتریان، و سایر شرکت‏های حاضر در زنجیرۀ تامین و حتی دولت) و در نهایت کاهش احتمال بروز هرگونه انحراف و سوءاستفاده کارگزاران در شرکت‏ها، باشد. </w:t>
      </w:r>
    </w:p>
    <w:p w14:paraId="2FA22B33" w14:textId="77777777" w:rsidR="00C6769B" w:rsidRPr="00C6769B" w:rsidRDefault="00C6769B" w:rsidP="00C6769B">
      <w:pPr>
        <w:rPr>
          <w:sz w:val="26"/>
          <w:rtl/>
          <w:lang w:bidi="fa-IR"/>
        </w:rPr>
      </w:pPr>
      <w:r w:rsidRPr="00C6769B">
        <w:rPr>
          <w:rFonts w:hint="cs"/>
          <w:sz w:val="26"/>
          <w:rtl/>
          <w:lang w:bidi="fa-IR"/>
        </w:rPr>
        <w:t xml:space="preserve">از این منظر، پژوهش مورد نظر می‏بایست با اهداف کلی زیر انجام گیرد: </w:t>
      </w:r>
    </w:p>
    <w:p w14:paraId="7B600E9A" w14:textId="77777777" w:rsidR="00C6769B" w:rsidRPr="00C6769B" w:rsidRDefault="00C6769B" w:rsidP="00A816C6">
      <w:pPr>
        <w:numPr>
          <w:ilvl w:val="0"/>
          <w:numId w:val="6"/>
        </w:numPr>
        <w:spacing w:after="0"/>
        <w:ind w:left="958" w:hanging="357"/>
        <w:rPr>
          <w:sz w:val="26"/>
          <w:lang w:bidi="fa-IR"/>
        </w:rPr>
      </w:pPr>
      <w:r w:rsidRPr="00C6769B">
        <w:rPr>
          <w:rFonts w:hint="cs"/>
          <w:sz w:val="26"/>
          <w:rtl/>
          <w:lang w:bidi="fa-IR"/>
        </w:rPr>
        <w:t>چگونگی و فرآیند تعامل صندوق با هلدینگ‏ها در قالب حکمرانی شرکتی</w:t>
      </w:r>
    </w:p>
    <w:p w14:paraId="2F1D2A4D" w14:textId="77777777" w:rsidR="00C6769B" w:rsidRPr="00C6769B" w:rsidRDefault="00C6769B" w:rsidP="00A816C6">
      <w:pPr>
        <w:numPr>
          <w:ilvl w:val="0"/>
          <w:numId w:val="6"/>
        </w:numPr>
        <w:spacing w:after="0"/>
        <w:ind w:left="958" w:hanging="357"/>
        <w:rPr>
          <w:sz w:val="26"/>
          <w:lang w:bidi="fa-IR"/>
        </w:rPr>
      </w:pPr>
      <w:r w:rsidRPr="00C6769B">
        <w:rPr>
          <w:rFonts w:hint="cs"/>
          <w:sz w:val="26"/>
          <w:rtl/>
          <w:lang w:bidi="fa-IR"/>
        </w:rPr>
        <w:t>چگونگی تعامل هلدینگ‏ها با شرکت‏های تابعه در قالب حکمرانی شرکتی</w:t>
      </w:r>
    </w:p>
    <w:p w14:paraId="0CEC854C" w14:textId="77777777" w:rsidR="00C6769B" w:rsidRPr="00C6769B" w:rsidRDefault="00C6769B" w:rsidP="00A816C6">
      <w:pPr>
        <w:numPr>
          <w:ilvl w:val="0"/>
          <w:numId w:val="6"/>
        </w:numPr>
        <w:spacing w:after="0"/>
        <w:ind w:left="958" w:hanging="357"/>
        <w:rPr>
          <w:sz w:val="26"/>
          <w:lang w:bidi="fa-IR"/>
        </w:rPr>
      </w:pPr>
      <w:r w:rsidRPr="00C6769B">
        <w:rPr>
          <w:rFonts w:hint="cs"/>
          <w:sz w:val="26"/>
          <w:rtl/>
          <w:lang w:bidi="fa-IR"/>
        </w:rPr>
        <w:t xml:space="preserve">طراحی فرآیند برنامه‏ریزی هلدینگ‏ها و شرکت‏های تابعه در چارچوب الگوی حکمرانی شرکتی </w:t>
      </w:r>
    </w:p>
    <w:p w14:paraId="68C2665C" w14:textId="6EA03947" w:rsidR="00C6769B" w:rsidRDefault="00C6769B" w:rsidP="00A816C6">
      <w:pPr>
        <w:numPr>
          <w:ilvl w:val="0"/>
          <w:numId w:val="6"/>
        </w:numPr>
        <w:spacing w:after="0"/>
        <w:ind w:left="958" w:hanging="357"/>
        <w:rPr>
          <w:sz w:val="26"/>
          <w:lang w:bidi="fa-IR"/>
        </w:rPr>
      </w:pPr>
      <w:r w:rsidRPr="00C6769B">
        <w:rPr>
          <w:rFonts w:hint="cs"/>
          <w:sz w:val="26"/>
          <w:rtl/>
          <w:lang w:bidi="fa-IR"/>
        </w:rPr>
        <w:t xml:space="preserve">تدوین نظام نظارت بر هلدینگ‏ها و شرکت‏های تابعه با رعایت اصول حکمرانی شرکتی </w:t>
      </w:r>
    </w:p>
    <w:p w14:paraId="1E4C6671" w14:textId="3212FDB3" w:rsidR="006C2EAA" w:rsidRPr="006C2EAA" w:rsidRDefault="00994E5C" w:rsidP="00530FE2">
      <w:pPr>
        <w:spacing w:after="0"/>
        <w:rPr>
          <w:sz w:val="26"/>
          <w:lang w:bidi="fa-IR"/>
        </w:rPr>
      </w:pPr>
      <w:r>
        <w:rPr>
          <w:rFonts w:hint="cs"/>
          <w:sz w:val="26"/>
          <w:rtl/>
          <w:lang w:bidi="fa-IR"/>
        </w:rPr>
        <w:t xml:space="preserve">لازم به ذکر است که مدل تدوین‏شده می‏بایست مدلی روان و مبتنی بر شرایط کشور ایران و بنگاه‏داری در صندوق باشد و صرفاً برگرفته از مدل‏های رایج نظام حکمرانی شرکتی در سایر کشورها یا هلدینگ‏ها نباشد. </w:t>
      </w:r>
    </w:p>
    <w:p w14:paraId="12841180" w14:textId="77777777" w:rsidR="003C18C1" w:rsidRPr="003C18C1" w:rsidRDefault="003C18C1" w:rsidP="003C18C1">
      <w:pPr>
        <w:ind w:left="353"/>
        <w:rPr>
          <w:sz w:val="26"/>
          <w:rtl/>
        </w:rPr>
      </w:pPr>
    </w:p>
    <w:sectPr w:rsidR="003C18C1" w:rsidRPr="003C18C1" w:rsidSect="00E444EF">
      <w:headerReference w:type="even" r:id="rId8"/>
      <w:headerReference w:type="default" r:id="rId9"/>
      <w:footerReference w:type="default" r:id="rId10"/>
      <w:headerReference w:type="first" r:id="rId11"/>
      <w:footnotePr>
        <w:numRestart w:val="eachPage"/>
      </w:footnotePr>
      <w:pgSz w:w="12240" w:h="15840"/>
      <w:pgMar w:top="2036" w:right="1440" w:bottom="1440" w:left="1440" w:header="737"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C4D71" w14:textId="77777777" w:rsidR="00B539A7" w:rsidRDefault="00B539A7" w:rsidP="000A3591">
      <w:pPr>
        <w:spacing w:after="0" w:line="240" w:lineRule="auto"/>
      </w:pPr>
      <w:r>
        <w:separator/>
      </w:r>
    </w:p>
  </w:endnote>
  <w:endnote w:type="continuationSeparator" w:id="0">
    <w:p w14:paraId="5E2F8ED3" w14:textId="77777777" w:rsidR="00B539A7" w:rsidRDefault="00B539A7" w:rsidP="000A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IRPooya">
    <w:altName w:val="Arial"/>
    <w:charset w:val="00"/>
    <w:family w:val="auto"/>
    <w:pitch w:val="variable"/>
    <w:sig w:usb0="00002003" w:usb1="00000000" w:usb2="00000000" w:usb3="00000000" w:csb0="0000004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1846698682"/>
      <w:docPartObj>
        <w:docPartGallery w:val="Page Numbers (Bottom of Page)"/>
        <w:docPartUnique/>
      </w:docPartObj>
    </w:sdtPr>
    <w:sdtEndPr>
      <w:rPr>
        <w:noProof/>
        <w:sz w:val="16"/>
        <w:szCs w:val="20"/>
      </w:rPr>
    </w:sdtEndPr>
    <w:sdtContent>
      <w:p w14:paraId="5ECB8902" w14:textId="4EB9E63B" w:rsidR="000A3591" w:rsidRDefault="000A3591">
        <w:pPr>
          <w:pStyle w:val="Footer"/>
          <w:jc w:val="center"/>
        </w:pPr>
        <w:r>
          <w:fldChar w:fldCharType="begin"/>
        </w:r>
        <w:r>
          <w:instrText xml:space="preserve"> PAGE   \* MERGEFORMAT </w:instrText>
        </w:r>
        <w:r>
          <w:fldChar w:fldCharType="separate"/>
        </w:r>
        <w:r w:rsidRPr="00695F83">
          <w:rPr>
            <w:noProof/>
            <w:rtl/>
            <w:lang w:bidi="ar-IQ"/>
          </w:rPr>
          <w:t>2</w:t>
        </w:r>
        <w:r>
          <w:rPr>
            <w:noProof/>
          </w:rPr>
          <w:fldChar w:fldCharType="end"/>
        </w:r>
      </w:p>
    </w:sdtContent>
  </w:sdt>
  <w:p w14:paraId="44177FE5" w14:textId="77777777" w:rsidR="000A3591" w:rsidRDefault="000A3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E51DC" w14:textId="77777777" w:rsidR="00B539A7" w:rsidRDefault="00B539A7" w:rsidP="000A3591">
      <w:pPr>
        <w:spacing w:after="0" w:line="240" w:lineRule="auto"/>
      </w:pPr>
      <w:r>
        <w:separator/>
      </w:r>
    </w:p>
  </w:footnote>
  <w:footnote w:type="continuationSeparator" w:id="0">
    <w:p w14:paraId="6225BC14" w14:textId="77777777" w:rsidR="00B539A7" w:rsidRDefault="00B539A7" w:rsidP="000A3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D2DA8" w14:textId="50D2CA42" w:rsidR="00452352" w:rsidRDefault="00B539A7">
    <w:pPr>
      <w:pStyle w:val="Header"/>
    </w:pPr>
    <w:r>
      <w:rPr>
        <w:noProof/>
      </w:rPr>
      <w:pict w14:anchorId="41A63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7" o:spid="_x0000_s2050" type="#_x0000_t75" style="position:absolute;left:0;text-align:left;margin-left:0;margin-top:0;width:468pt;height:591.4pt;z-index:-251657216;mso-position-horizontal:center;mso-position-horizontal-relative:margin;mso-position-vertical:center;mso-position-vertical-relative:margin" o:allowincell="f">
          <v:imagedata r:id="rId1" o:title="logo new"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9350" w:type="dxa"/>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7"/>
      <w:gridCol w:w="1983"/>
    </w:tblGrid>
    <w:tr w:rsidR="000A3591" w14:paraId="16787260" w14:textId="77777777" w:rsidTr="00C65880">
      <w:trPr>
        <w:cantSplit/>
        <w:trHeight w:val="74"/>
      </w:trPr>
      <w:tc>
        <w:tcPr>
          <w:tcW w:w="7367" w:type="dxa"/>
          <w:vAlign w:val="center"/>
        </w:tcPr>
        <w:p w14:paraId="6BA80756" w14:textId="450557EA" w:rsidR="000A3591" w:rsidRPr="000A3591" w:rsidRDefault="000A3591" w:rsidP="000A3591">
          <w:pPr>
            <w:pStyle w:val="Header"/>
            <w:jc w:val="left"/>
            <w:rPr>
              <w:rFonts w:cs="B Traffic"/>
              <w:rtl/>
              <w:lang w:bidi="fa-IR"/>
            </w:rPr>
          </w:pPr>
          <w:r w:rsidRPr="000A3591">
            <w:rPr>
              <w:rFonts w:cs="B Traffic" w:hint="cs"/>
              <w:sz w:val="16"/>
              <w:szCs w:val="20"/>
              <w:rtl/>
              <w:lang w:bidi="fa-IR"/>
            </w:rPr>
            <w:t>اولویت‏های پژوهشی موسسه راهبردهای بازنشستگی صبا در سال 1399</w:t>
          </w:r>
        </w:p>
      </w:tc>
      <w:tc>
        <w:tcPr>
          <w:tcW w:w="1983" w:type="dxa"/>
          <w:vAlign w:val="center"/>
        </w:tcPr>
        <w:p w14:paraId="282E6228" w14:textId="16D23850" w:rsidR="000A3591" w:rsidRDefault="000A3591" w:rsidP="000A3591">
          <w:pPr>
            <w:pStyle w:val="Header"/>
            <w:jc w:val="right"/>
            <w:rPr>
              <w:rtl/>
            </w:rPr>
          </w:pPr>
          <w:r>
            <w:rPr>
              <w:noProof/>
            </w:rPr>
            <w:drawing>
              <wp:inline distT="0" distB="0" distL="0" distR="0" wp14:anchorId="19C70060" wp14:editId="42D0FA46">
                <wp:extent cx="381467" cy="481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600" cy="495464"/>
                        </a:xfrm>
                        <a:prstGeom prst="rect">
                          <a:avLst/>
                        </a:prstGeom>
                        <a:noFill/>
                        <a:ln>
                          <a:noFill/>
                        </a:ln>
                      </pic:spPr>
                    </pic:pic>
                  </a:graphicData>
                </a:graphic>
              </wp:inline>
            </w:drawing>
          </w:r>
        </w:p>
      </w:tc>
    </w:tr>
  </w:tbl>
  <w:p w14:paraId="75A0195E" w14:textId="1FD7074E" w:rsidR="000A3591" w:rsidRDefault="00B539A7" w:rsidP="000A3591">
    <w:pPr>
      <w:pStyle w:val="Header"/>
      <w:tabs>
        <w:tab w:val="clear" w:pos="4680"/>
      </w:tabs>
    </w:pPr>
    <w:r>
      <w:rPr>
        <w:noProof/>
      </w:rPr>
      <w:pict w14:anchorId="173FE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8" o:spid="_x0000_s2051" type="#_x0000_t75" style="position:absolute;left:0;text-align:left;margin-left:0;margin-top:0;width:468pt;height:591.4pt;z-index:-251656192;mso-position-horizontal:center;mso-position-horizontal-relative:margin;mso-position-vertical:center;mso-position-vertical-relative:margin" o:allowincell="f">
          <v:imagedata r:id="rId2" o:title="logo new"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25567" w14:textId="3F17BBAE" w:rsidR="00452352" w:rsidRDefault="00B539A7">
    <w:pPr>
      <w:pStyle w:val="Header"/>
    </w:pPr>
    <w:r>
      <w:rPr>
        <w:noProof/>
      </w:rPr>
      <w:pict w14:anchorId="0C87C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6" o:spid="_x0000_s2049" type="#_x0000_t75" style="position:absolute;left:0;text-align:left;margin-left:0;margin-top:0;width:468pt;height:591.4pt;z-index:-251658240;mso-position-horizontal:center;mso-position-horizontal-relative:margin;mso-position-vertical:center;mso-position-vertical-relative:margin" o:allowincell="f">
          <v:imagedata r:id="rId1" o:title="logo new"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D5FBD"/>
    <w:multiLevelType w:val="hybridMultilevel"/>
    <w:tmpl w:val="4426F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A4F6D"/>
    <w:multiLevelType w:val="hybridMultilevel"/>
    <w:tmpl w:val="9AAAEF94"/>
    <w:lvl w:ilvl="0" w:tplc="04090001">
      <w:start w:val="1"/>
      <w:numFmt w:val="bullet"/>
      <w:lvlText w:val=""/>
      <w:lvlJc w:val="left"/>
      <w:pPr>
        <w:ind w:left="959" w:hanging="360"/>
      </w:pPr>
      <w:rPr>
        <w:rFonts w:ascii="Symbol" w:hAnsi="Symbol"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 w15:restartNumberingAfterBreak="0">
    <w:nsid w:val="356B11FB"/>
    <w:multiLevelType w:val="hybridMultilevel"/>
    <w:tmpl w:val="DBF8449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 w15:restartNumberingAfterBreak="0">
    <w:nsid w:val="3928766D"/>
    <w:multiLevelType w:val="hybridMultilevel"/>
    <w:tmpl w:val="1234D44E"/>
    <w:lvl w:ilvl="0" w:tplc="04090001">
      <w:start w:val="1"/>
      <w:numFmt w:val="bullet"/>
      <w:lvlText w:val=""/>
      <w:lvlJc w:val="left"/>
      <w:pPr>
        <w:ind w:left="847" w:hanging="360"/>
      </w:pPr>
      <w:rPr>
        <w:rFonts w:ascii="Symbol" w:hAnsi="Symbol" w:hint="default"/>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4" w15:restartNumberingAfterBreak="0">
    <w:nsid w:val="50510032"/>
    <w:multiLevelType w:val="hybridMultilevel"/>
    <w:tmpl w:val="7B2CB73C"/>
    <w:lvl w:ilvl="0" w:tplc="04090001">
      <w:start w:val="1"/>
      <w:numFmt w:val="bullet"/>
      <w:lvlText w:val=""/>
      <w:lvlJc w:val="left"/>
      <w:pPr>
        <w:ind w:left="1072" w:hanging="360"/>
      </w:pPr>
      <w:rPr>
        <w:rFonts w:ascii="Symbol" w:hAnsi="Symbol"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5" w15:restartNumberingAfterBreak="0">
    <w:nsid w:val="72033264"/>
    <w:multiLevelType w:val="hybridMultilevel"/>
    <w:tmpl w:val="06A444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14A78"/>
    <w:multiLevelType w:val="hybridMultilevel"/>
    <w:tmpl w:val="57A606F8"/>
    <w:lvl w:ilvl="0" w:tplc="A3847114">
      <w:start w:val="1"/>
      <w:numFmt w:val="decimal"/>
      <w:lvlText w:val="%1."/>
      <w:lvlJc w:val="left"/>
      <w:pPr>
        <w:ind w:left="1080" w:hanging="360"/>
      </w:pPr>
      <w:rPr>
        <w:rFonts w:cs="B Traffic"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F484B43"/>
    <w:multiLevelType w:val="hybridMultilevel"/>
    <w:tmpl w:val="38C65958"/>
    <w:lvl w:ilvl="0" w:tplc="04090003">
      <w:start w:val="1"/>
      <w:numFmt w:val="bullet"/>
      <w:lvlText w:val="o"/>
      <w:lvlJc w:val="left"/>
      <w:pPr>
        <w:ind w:left="959" w:hanging="360"/>
      </w:pPr>
      <w:rPr>
        <w:rFonts w:ascii="Courier New" w:hAnsi="Courier New" w:cs="Courier New"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1"/>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2"/>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B8A"/>
    <w:rsid w:val="00004FC1"/>
    <w:rsid w:val="00012C4D"/>
    <w:rsid w:val="00016592"/>
    <w:rsid w:val="000275E2"/>
    <w:rsid w:val="00032784"/>
    <w:rsid w:val="000455C8"/>
    <w:rsid w:val="00052AAD"/>
    <w:rsid w:val="0007725C"/>
    <w:rsid w:val="00093BDF"/>
    <w:rsid w:val="0009766B"/>
    <w:rsid w:val="000A3591"/>
    <w:rsid w:val="000D2002"/>
    <w:rsid w:val="00154991"/>
    <w:rsid w:val="001754FE"/>
    <w:rsid w:val="001768B8"/>
    <w:rsid w:val="001B0D7B"/>
    <w:rsid w:val="001C4A17"/>
    <w:rsid w:val="001D3F20"/>
    <w:rsid w:val="00223589"/>
    <w:rsid w:val="00243AC3"/>
    <w:rsid w:val="002967AD"/>
    <w:rsid w:val="002B0B0A"/>
    <w:rsid w:val="003950D9"/>
    <w:rsid w:val="003C18C1"/>
    <w:rsid w:val="004130D5"/>
    <w:rsid w:val="00445A6A"/>
    <w:rsid w:val="00452352"/>
    <w:rsid w:val="004B732D"/>
    <w:rsid w:val="00522AAA"/>
    <w:rsid w:val="00530FE2"/>
    <w:rsid w:val="00553FC8"/>
    <w:rsid w:val="00676AB2"/>
    <w:rsid w:val="00695F83"/>
    <w:rsid w:val="006C2EAA"/>
    <w:rsid w:val="006E780B"/>
    <w:rsid w:val="00763070"/>
    <w:rsid w:val="008432FE"/>
    <w:rsid w:val="008908E0"/>
    <w:rsid w:val="008A1F93"/>
    <w:rsid w:val="008A7469"/>
    <w:rsid w:val="008C3498"/>
    <w:rsid w:val="008D2054"/>
    <w:rsid w:val="008D7700"/>
    <w:rsid w:val="00963C22"/>
    <w:rsid w:val="00981B8A"/>
    <w:rsid w:val="00994E5C"/>
    <w:rsid w:val="00A061E6"/>
    <w:rsid w:val="00A52F6E"/>
    <w:rsid w:val="00A64A9E"/>
    <w:rsid w:val="00A7631A"/>
    <w:rsid w:val="00A816C6"/>
    <w:rsid w:val="00AB5832"/>
    <w:rsid w:val="00B36845"/>
    <w:rsid w:val="00B47E51"/>
    <w:rsid w:val="00B539A7"/>
    <w:rsid w:val="00B72E05"/>
    <w:rsid w:val="00B74136"/>
    <w:rsid w:val="00C02D68"/>
    <w:rsid w:val="00C05F87"/>
    <w:rsid w:val="00C65880"/>
    <w:rsid w:val="00C6769B"/>
    <w:rsid w:val="00C9559A"/>
    <w:rsid w:val="00C95D96"/>
    <w:rsid w:val="00CB3676"/>
    <w:rsid w:val="00D36D14"/>
    <w:rsid w:val="00D415CE"/>
    <w:rsid w:val="00D85D46"/>
    <w:rsid w:val="00E034A4"/>
    <w:rsid w:val="00E3783A"/>
    <w:rsid w:val="00E444EF"/>
    <w:rsid w:val="00F00ABB"/>
    <w:rsid w:val="00F6143C"/>
    <w:rsid w:val="00F6603C"/>
    <w:rsid w:val="00F77BED"/>
    <w:rsid w:val="00F94B2F"/>
    <w:rsid w:val="00FB25FA"/>
    <w:rsid w:val="00FC25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4579C0"/>
  <w15:chartTrackingRefBased/>
  <w15:docId w15:val="{611720BA-A565-429C-A063-B7A702D4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D96"/>
    <w:pPr>
      <w:bidi/>
      <w:jc w:val="both"/>
    </w:pPr>
    <w:rPr>
      <w:rFonts w:cs="B Mitra"/>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592"/>
    <w:pPr>
      <w:bidi w:val="0"/>
      <w:ind w:left="720"/>
      <w:contextualSpacing/>
      <w:jc w:val="left"/>
    </w:pPr>
    <w:rPr>
      <w:rFonts w:cstheme="minorBidi"/>
      <w:szCs w:val="22"/>
    </w:rPr>
  </w:style>
  <w:style w:type="paragraph" w:styleId="Header">
    <w:name w:val="header"/>
    <w:basedOn w:val="Normal"/>
    <w:link w:val="HeaderChar"/>
    <w:uiPriority w:val="99"/>
    <w:unhideWhenUsed/>
    <w:rsid w:val="000A35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591"/>
    <w:rPr>
      <w:rFonts w:cs="B Mitra"/>
      <w:szCs w:val="26"/>
    </w:rPr>
  </w:style>
  <w:style w:type="paragraph" w:styleId="Footer">
    <w:name w:val="footer"/>
    <w:basedOn w:val="Normal"/>
    <w:link w:val="FooterChar"/>
    <w:uiPriority w:val="99"/>
    <w:unhideWhenUsed/>
    <w:rsid w:val="000A35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591"/>
    <w:rPr>
      <w:rFonts w:cs="B Mitra"/>
      <w:szCs w:val="26"/>
    </w:rPr>
  </w:style>
  <w:style w:type="table" w:styleId="TableGrid">
    <w:name w:val="Table Grid"/>
    <w:basedOn w:val="TableNormal"/>
    <w:uiPriority w:val="39"/>
    <w:rsid w:val="000A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C18C1"/>
    <w:pPr>
      <w:bidi w:val="0"/>
      <w:spacing w:after="0" w:line="240" w:lineRule="auto"/>
      <w:jc w:val="left"/>
    </w:pPr>
    <w:rPr>
      <w:rFonts w:cstheme="minorBidi"/>
      <w:sz w:val="20"/>
      <w:szCs w:val="20"/>
    </w:rPr>
  </w:style>
  <w:style w:type="character" w:customStyle="1" w:styleId="FootnoteTextChar">
    <w:name w:val="Footnote Text Char"/>
    <w:basedOn w:val="DefaultParagraphFont"/>
    <w:link w:val="FootnoteText"/>
    <w:uiPriority w:val="99"/>
    <w:semiHidden/>
    <w:rsid w:val="003C18C1"/>
    <w:rPr>
      <w:sz w:val="20"/>
      <w:szCs w:val="20"/>
    </w:rPr>
  </w:style>
  <w:style w:type="character" w:styleId="FootnoteReference">
    <w:name w:val="footnote reference"/>
    <w:basedOn w:val="DefaultParagraphFont"/>
    <w:uiPriority w:val="99"/>
    <w:semiHidden/>
    <w:unhideWhenUsed/>
    <w:rsid w:val="003C18C1"/>
    <w:rPr>
      <w:vertAlign w:val="superscript"/>
    </w:rPr>
  </w:style>
  <w:style w:type="character" w:styleId="Hyperlink">
    <w:name w:val="Hyperlink"/>
    <w:basedOn w:val="DefaultParagraphFont"/>
    <w:uiPriority w:val="99"/>
    <w:unhideWhenUsed/>
    <w:rsid w:val="00F614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14DA-D3D9-44BD-9909-55C0C27E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رضا میرزا ابراهیمی</cp:lastModifiedBy>
  <cp:revision>2</cp:revision>
  <dcterms:created xsi:type="dcterms:W3CDTF">2020-06-15T10:39:00Z</dcterms:created>
  <dcterms:modified xsi:type="dcterms:W3CDTF">2020-06-15T10:39:00Z</dcterms:modified>
</cp:coreProperties>
</file>